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E3E98" w14:textId="77777777" w:rsidR="00910F9E" w:rsidRPr="002954FB" w:rsidRDefault="00910F9E" w:rsidP="00910F9E">
      <w:pPr>
        <w:jc w:val="center"/>
        <w:rPr>
          <w:rFonts w:ascii="Calibri" w:hAnsi="Calibri" w:cs="Calibri"/>
          <w:b/>
          <w:bCs/>
          <w:sz w:val="32"/>
          <w:szCs w:val="32"/>
        </w:rPr>
      </w:pPr>
      <w:r w:rsidRPr="002954FB">
        <w:rPr>
          <w:rFonts w:ascii="Calibri" w:hAnsi="Calibri" w:cs="Calibri"/>
          <w:b/>
          <w:bCs/>
          <w:sz w:val="32"/>
          <w:szCs w:val="32"/>
        </w:rPr>
        <w:t>Department of Management &amp; Enterprise</w:t>
      </w:r>
    </w:p>
    <w:p w14:paraId="24340BC9" w14:textId="77777777" w:rsidR="00910F9E" w:rsidRDefault="00910F9E" w:rsidP="00910F9E">
      <w:pPr>
        <w:jc w:val="center"/>
        <w:rPr>
          <w:rFonts w:ascii="Calibri" w:hAnsi="Calibri" w:cs="Calibri"/>
          <w:b/>
          <w:bCs/>
          <w:sz w:val="28"/>
          <w:szCs w:val="28"/>
        </w:rPr>
      </w:pPr>
      <w:r w:rsidRPr="002954FB">
        <w:rPr>
          <w:rFonts w:ascii="Calibri" w:hAnsi="Calibri" w:cs="Calibri"/>
          <w:b/>
          <w:bCs/>
          <w:sz w:val="28"/>
          <w:szCs w:val="28"/>
        </w:rPr>
        <w:t>Department Guideline Document supporting students to demonstrate Academic Integrity</w:t>
      </w:r>
      <w:r w:rsidRPr="002954FB">
        <w:rPr>
          <w:rFonts w:ascii="Calibri" w:hAnsi="Calibri" w:cs="Calibri"/>
          <w:b/>
          <w:bCs/>
          <w:sz w:val="32"/>
          <w:szCs w:val="32"/>
        </w:rPr>
        <w:t xml:space="preserve"> </w:t>
      </w:r>
      <w:r w:rsidRPr="002954FB">
        <w:rPr>
          <w:rFonts w:ascii="Calibri" w:hAnsi="Calibri" w:cs="Calibri"/>
          <w:b/>
          <w:bCs/>
          <w:sz w:val="28"/>
          <w:szCs w:val="28"/>
        </w:rPr>
        <w:t>(Pilot Phase)</w:t>
      </w:r>
    </w:p>
    <w:p w14:paraId="22C1012E" w14:textId="26B3B497" w:rsidR="00910F9E" w:rsidRPr="009F0959" w:rsidRDefault="00910F9E" w:rsidP="00910F9E">
      <w:pPr>
        <w:jc w:val="center"/>
        <w:rPr>
          <w:rFonts w:ascii="Calibri" w:hAnsi="Calibri" w:cs="Calibri"/>
          <w:b/>
          <w:bCs/>
        </w:rPr>
      </w:pPr>
      <w:r>
        <w:rPr>
          <w:rFonts w:ascii="Calibri" w:hAnsi="Calibri" w:cs="Calibri"/>
          <w:b/>
          <w:bCs/>
          <w:sz w:val="28"/>
          <w:szCs w:val="28"/>
        </w:rPr>
        <w:t xml:space="preserve">SATLE Project report </w:t>
      </w:r>
    </w:p>
    <w:p w14:paraId="7C79719F" w14:textId="1358E0A4" w:rsidR="008011F1" w:rsidRDefault="008011F1" w:rsidP="008011F1">
      <w:pPr>
        <w:jc w:val="both"/>
        <w:rPr>
          <w:rFonts w:ascii="Calibri" w:hAnsi="Calibri" w:cs="Calibri"/>
        </w:rPr>
      </w:pPr>
      <w:r w:rsidRPr="008011F1">
        <w:rPr>
          <w:rFonts w:ascii="Calibri" w:hAnsi="Calibri" w:cs="Calibri"/>
        </w:rPr>
        <w:t xml:space="preserve">In semester two AY24_25 the Department of Management &amp; Enterprise developed and launched a Department Guideline Document </w:t>
      </w:r>
      <w:r w:rsidR="0065565F">
        <w:rPr>
          <w:rFonts w:ascii="Calibri" w:hAnsi="Calibri" w:cs="Calibri"/>
        </w:rPr>
        <w:t xml:space="preserve">outlining activities which lecturers could adopt to </w:t>
      </w:r>
      <w:r w:rsidRPr="008011F1">
        <w:rPr>
          <w:rFonts w:ascii="Calibri" w:hAnsi="Calibri" w:cs="Calibri"/>
        </w:rPr>
        <w:t xml:space="preserve">support students </w:t>
      </w:r>
      <w:r w:rsidR="0065565F">
        <w:rPr>
          <w:rFonts w:ascii="Calibri" w:hAnsi="Calibri" w:cs="Calibri"/>
        </w:rPr>
        <w:t>in</w:t>
      </w:r>
      <w:r w:rsidRPr="008011F1">
        <w:rPr>
          <w:rFonts w:ascii="Calibri" w:hAnsi="Calibri" w:cs="Calibri"/>
        </w:rPr>
        <w:t xml:space="preserve"> demonstrat</w:t>
      </w:r>
      <w:r w:rsidR="0065565F">
        <w:rPr>
          <w:rFonts w:ascii="Calibri" w:hAnsi="Calibri" w:cs="Calibri"/>
        </w:rPr>
        <w:t>ing their</w:t>
      </w:r>
      <w:r w:rsidRPr="008011F1">
        <w:rPr>
          <w:rFonts w:ascii="Calibri" w:hAnsi="Calibri" w:cs="Calibri"/>
        </w:rPr>
        <w:t xml:space="preserve"> Academic Integrity </w:t>
      </w:r>
      <w:r w:rsidR="004E79FB">
        <w:rPr>
          <w:rFonts w:ascii="Calibri" w:hAnsi="Calibri" w:cs="Calibri"/>
        </w:rPr>
        <w:t>on a pilot basis</w:t>
      </w:r>
      <w:r>
        <w:rPr>
          <w:rFonts w:ascii="Calibri" w:hAnsi="Calibri" w:cs="Calibri"/>
        </w:rPr>
        <w:t xml:space="preserve">.  The guideline document was developed by the Head of Department following consolidation of anecdotal feedback from lecturers and students and consideration of the national and international landscape where ‘Academic Integrity’ and more recently ‘Artificial Intelligence’ was gaining much prominence in the teaching, learning and </w:t>
      </w:r>
      <w:r w:rsidR="0065565F">
        <w:rPr>
          <w:rFonts w:ascii="Calibri" w:hAnsi="Calibri" w:cs="Calibri"/>
        </w:rPr>
        <w:t>assessment</w:t>
      </w:r>
      <w:r w:rsidR="004E79FB">
        <w:rPr>
          <w:rFonts w:ascii="Calibri" w:hAnsi="Calibri" w:cs="Calibri"/>
        </w:rPr>
        <w:t xml:space="preserve"> arena</w:t>
      </w:r>
      <w:r>
        <w:rPr>
          <w:rFonts w:ascii="Calibri" w:hAnsi="Calibri" w:cs="Calibri"/>
        </w:rPr>
        <w:t>.</w:t>
      </w:r>
    </w:p>
    <w:p w14:paraId="0BAA5A9E" w14:textId="77777777" w:rsidR="008011F1" w:rsidRPr="002954FB" w:rsidRDefault="008011F1" w:rsidP="008011F1">
      <w:pPr>
        <w:jc w:val="both"/>
        <w:rPr>
          <w:rFonts w:ascii="Calibri" w:hAnsi="Calibri" w:cs="Calibri"/>
        </w:rPr>
      </w:pPr>
      <w:r w:rsidRPr="002954FB">
        <w:rPr>
          <w:rFonts w:ascii="Calibri" w:hAnsi="Calibri" w:cs="Calibri"/>
        </w:rPr>
        <w:t xml:space="preserve">This guideline document seeks to support the implementation of MTU policies and procedures which underpin academic integrity and </w:t>
      </w:r>
      <w:r>
        <w:rPr>
          <w:rFonts w:ascii="Calibri" w:hAnsi="Calibri" w:cs="Calibri"/>
        </w:rPr>
        <w:t xml:space="preserve">help to address </w:t>
      </w:r>
      <w:r w:rsidRPr="002954FB">
        <w:rPr>
          <w:rFonts w:ascii="Calibri" w:hAnsi="Calibri" w:cs="Calibri"/>
        </w:rPr>
        <w:t>the implications of Generative Artificial Intelligence</w:t>
      </w:r>
      <w:r>
        <w:rPr>
          <w:rFonts w:ascii="Calibri" w:hAnsi="Calibri" w:cs="Calibri"/>
        </w:rPr>
        <w:t xml:space="preserve"> on assessment practices.</w:t>
      </w:r>
    </w:p>
    <w:p w14:paraId="54904282" w14:textId="77777777" w:rsidR="008011F1" w:rsidRDefault="008011F1" w:rsidP="008011F1">
      <w:pPr>
        <w:jc w:val="both"/>
        <w:rPr>
          <w:rFonts w:ascii="Calibri" w:hAnsi="Calibri" w:cs="Calibri"/>
        </w:rPr>
      </w:pPr>
      <w:r w:rsidRPr="002954FB">
        <w:rPr>
          <w:rFonts w:ascii="Calibri" w:hAnsi="Calibri" w:cs="Calibri"/>
        </w:rPr>
        <w:t xml:space="preserve">The </w:t>
      </w:r>
      <w:r>
        <w:rPr>
          <w:rFonts w:ascii="Calibri" w:hAnsi="Calibri" w:cs="Calibri"/>
        </w:rPr>
        <w:t>guideline document</w:t>
      </w:r>
      <w:r w:rsidRPr="002954FB">
        <w:rPr>
          <w:rFonts w:ascii="Calibri" w:hAnsi="Calibri" w:cs="Calibri"/>
        </w:rPr>
        <w:t xml:space="preserve"> sets out </w:t>
      </w:r>
      <w:r>
        <w:rPr>
          <w:rFonts w:ascii="Calibri" w:hAnsi="Calibri" w:cs="Calibri"/>
        </w:rPr>
        <w:t xml:space="preserve">six </w:t>
      </w:r>
      <w:r w:rsidRPr="002954FB">
        <w:rPr>
          <w:rFonts w:ascii="Calibri" w:hAnsi="Calibri" w:cs="Calibri"/>
        </w:rPr>
        <w:t xml:space="preserve">options which can be used by students to demonstrate </w:t>
      </w:r>
      <w:r>
        <w:rPr>
          <w:rFonts w:ascii="Calibri" w:hAnsi="Calibri" w:cs="Calibri"/>
        </w:rPr>
        <w:t>for</w:t>
      </w:r>
      <w:r w:rsidRPr="002954FB">
        <w:rPr>
          <w:rFonts w:ascii="Calibri" w:hAnsi="Calibri" w:cs="Calibri"/>
        </w:rPr>
        <w:t xml:space="preserve"> their lecturers, their commitment to academic integrity in the submission of their assessment work.  The options set out below can be used independently or combined as deemed appropriate.  Lecturers can determine how best to use the guideline options depending on the nature of the formative or summative assessment under consideration. </w:t>
      </w:r>
    </w:p>
    <w:p w14:paraId="5F470250" w14:textId="77777777" w:rsidR="008011F1" w:rsidRDefault="008011F1" w:rsidP="008011F1">
      <w:pPr>
        <w:jc w:val="both"/>
        <w:rPr>
          <w:rFonts w:ascii="Calibri" w:hAnsi="Calibri" w:cs="Calibri"/>
          <w:b/>
          <w:bCs/>
          <w:sz w:val="28"/>
          <w:szCs w:val="28"/>
          <w:u w:val="single"/>
        </w:rPr>
      </w:pPr>
      <w:r>
        <w:rPr>
          <w:rFonts w:ascii="Calibri" w:hAnsi="Calibri" w:cs="Calibri"/>
          <w:b/>
          <w:bCs/>
          <w:sz w:val="28"/>
          <w:szCs w:val="28"/>
          <w:u w:val="single"/>
        </w:rPr>
        <w:t>Summary of Options</w:t>
      </w:r>
    </w:p>
    <w:p w14:paraId="4230AF9F" w14:textId="77777777" w:rsidR="008011F1" w:rsidRDefault="008011F1" w:rsidP="008011F1">
      <w:pPr>
        <w:jc w:val="both"/>
        <w:rPr>
          <w:rFonts w:ascii="Calibri" w:hAnsi="Calibri" w:cs="Calibri"/>
          <w:b/>
          <w:bCs/>
          <w:sz w:val="28"/>
          <w:szCs w:val="28"/>
          <w:u w:val="single"/>
        </w:rPr>
      </w:pPr>
      <w:r w:rsidRPr="00713BAF">
        <w:rPr>
          <w:rFonts w:ascii="Calibri" w:hAnsi="Calibri" w:cs="Calibri"/>
          <w:b/>
          <w:bCs/>
          <w:noProof/>
          <w:sz w:val="28"/>
          <w:szCs w:val="28"/>
          <w:u w:val="single"/>
        </w:rPr>
        <w:drawing>
          <wp:inline distT="0" distB="0" distL="0" distR="0" wp14:anchorId="1F8F3CBC" wp14:editId="5519AEC5">
            <wp:extent cx="5731510" cy="3265170"/>
            <wp:effectExtent l="0" t="0" r="2540" b="0"/>
            <wp:docPr id="330617149"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17149" name="Picture 1" descr="A diagram of a company&#10;&#10;AI-generated content may be incorrect."/>
                    <pic:cNvPicPr/>
                  </pic:nvPicPr>
                  <pic:blipFill>
                    <a:blip r:embed="rId7"/>
                    <a:stretch>
                      <a:fillRect/>
                    </a:stretch>
                  </pic:blipFill>
                  <pic:spPr>
                    <a:xfrm>
                      <a:off x="0" y="0"/>
                      <a:ext cx="5731510" cy="3265170"/>
                    </a:xfrm>
                    <a:prstGeom prst="rect">
                      <a:avLst/>
                    </a:prstGeom>
                  </pic:spPr>
                </pic:pic>
              </a:graphicData>
            </a:graphic>
          </wp:inline>
        </w:drawing>
      </w:r>
    </w:p>
    <w:p w14:paraId="60CE4A91" w14:textId="77777777" w:rsidR="008011F1" w:rsidRPr="004122F1" w:rsidRDefault="008011F1" w:rsidP="008011F1">
      <w:pPr>
        <w:jc w:val="both"/>
        <w:rPr>
          <w:rFonts w:ascii="Calibri" w:hAnsi="Calibri" w:cs="Calibri"/>
          <w:sz w:val="28"/>
          <w:szCs w:val="28"/>
        </w:rPr>
      </w:pPr>
      <w:r w:rsidRPr="004122F1">
        <w:rPr>
          <w:rFonts w:ascii="Calibri" w:hAnsi="Calibri" w:cs="Calibri"/>
          <w:sz w:val="28"/>
          <w:szCs w:val="28"/>
        </w:rPr>
        <w:lastRenderedPageBreak/>
        <w:t xml:space="preserve">This table sets out the options under consideration </w:t>
      </w:r>
      <w:r>
        <w:rPr>
          <w:rFonts w:ascii="Calibri" w:hAnsi="Calibri" w:cs="Calibri"/>
          <w:sz w:val="28"/>
          <w:szCs w:val="28"/>
        </w:rPr>
        <w:t>in this guideline document:</w:t>
      </w:r>
    </w:p>
    <w:tbl>
      <w:tblPr>
        <w:tblStyle w:val="TableGrid"/>
        <w:tblW w:w="5000" w:type="pct"/>
        <w:tblLook w:val="04A0" w:firstRow="1" w:lastRow="0" w:firstColumn="1" w:lastColumn="0" w:noHBand="0" w:noVBand="1"/>
      </w:tblPr>
      <w:tblGrid>
        <w:gridCol w:w="3008"/>
        <w:gridCol w:w="1506"/>
        <w:gridCol w:w="1437"/>
        <w:gridCol w:w="3065"/>
      </w:tblGrid>
      <w:tr w:rsidR="008011F1" w:rsidRPr="008F2630" w14:paraId="138B9E22" w14:textId="77777777" w:rsidTr="00E45246">
        <w:trPr>
          <w:trHeight w:val="342"/>
        </w:trPr>
        <w:tc>
          <w:tcPr>
            <w:tcW w:w="1668" w:type="pct"/>
          </w:tcPr>
          <w:p w14:paraId="650F746A" w14:textId="77777777" w:rsidR="008011F1" w:rsidRPr="008F2630" w:rsidRDefault="008011F1" w:rsidP="00E45246">
            <w:pPr>
              <w:rPr>
                <w:rFonts w:ascii="Calibri" w:hAnsi="Calibri" w:cs="Calibri"/>
                <w:b/>
                <w:bCs/>
              </w:rPr>
            </w:pPr>
            <w:r w:rsidRPr="008F2630">
              <w:rPr>
                <w:rFonts w:ascii="Calibri" w:hAnsi="Calibri" w:cs="Calibri"/>
                <w:b/>
                <w:bCs/>
              </w:rPr>
              <w:t>Option</w:t>
            </w:r>
          </w:p>
        </w:tc>
        <w:tc>
          <w:tcPr>
            <w:tcW w:w="835" w:type="pct"/>
          </w:tcPr>
          <w:p w14:paraId="1CF1FB40" w14:textId="77777777" w:rsidR="008011F1" w:rsidRPr="008F2630" w:rsidRDefault="008011F1" w:rsidP="00E45246">
            <w:pPr>
              <w:rPr>
                <w:rFonts w:ascii="Calibri" w:hAnsi="Calibri" w:cs="Calibri"/>
                <w:b/>
                <w:bCs/>
              </w:rPr>
            </w:pPr>
            <w:r w:rsidRPr="008F2630">
              <w:rPr>
                <w:rFonts w:ascii="Calibri" w:hAnsi="Calibri" w:cs="Calibri"/>
                <w:b/>
                <w:bCs/>
              </w:rPr>
              <w:t xml:space="preserve">Useful for </w:t>
            </w:r>
            <w:r>
              <w:rPr>
                <w:rFonts w:ascii="Calibri" w:hAnsi="Calibri" w:cs="Calibri"/>
                <w:b/>
                <w:bCs/>
              </w:rPr>
              <w:t xml:space="preserve">Prog. </w:t>
            </w:r>
            <w:r w:rsidRPr="008F2630">
              <w:rPr>
                <w:rFonts w:ascii="Calibri" w:hAnsi="Calibri" w:cs="Calibri"/>
                <w:b/>
                <w:bCs/>
              </w:rPr>
              <w:t>stages</w:t>
            </w:r>
          </w:p>
        </w:tc>
        <w:tc>
          <w:tcPr>
            <w:tcW w:w="797" w:type="pct"/>
          </w:tcPr>
          <w:p w14:paraId="0A407994" w14:textId="77777777" w:rsidR="008011F1" w:rsidRPr="008F2630" w:rsidRDefault="008011F1" w:rsidP="00E45246">
            <w:pPr>
              <w:rPr>
                <w:rFonts w:ascii="Calibri" w:hAnsi="Calibri" w:cs="Calibri"/>
                <w:b/>
                <w:bCs/>
              </w:rPr>
            </w:pPr>
            <w:r w:rsidRPr="008F2630">
              <w:rPr>
                <w:rFonts w:ascii="Calibri" w:hAnsi="Calibri" w:cs="Calibri"/>
                <w:b/>
                <w:bCs/>
              </w:rPr>
              <w:t xml:space="preserve">Relevant Assessment </w:t>
            </w:r>
          </w:p>
        </w:tc>
        <w:tc>
          <w:tcPr>
            <w:tcW w:w="1701" w:type="pct"/>
          </w:tcPr>
          <w:p w14:paraId="6684E680" w14:textId="77777777" w:rsidR="008011F1" w:rsidRPr="008F2630" w:rsidRDefault="008011F1" w:rsidP="00E45246">
            <w:pPr>
              <w:rPr>
                <w:rFonts w:ascii="Calibri" w:hAnsi="Calibri" w:cs="Calibri"/>
                <w:b/>
                <w:bCs/>
              </w:rPr>
            </w:pPr>
            <w:r w:rsidRPr="008F2630">
              <w:rPr>
                <w:rFonts w:ascii="Calibri" w:hAnsi="Calibri" w:cs="Calibri"/>
                <w:b/>
                <w:bCs/>
              </w:rPr>
              <w:t>Timing</w:t>
            </w:r>
          </w:p>
        </w:tc>
      </w:tr>
      <w:tr w:rsidR="008011F1" w:rsidRPr="008F2630" w14:paraId="15F19FB6" w14:textId="77777777" w:rsidTr="00E45246">
        <w:trPr>
          <w:trHeight w:val="342"/>
        </w:trPr>
        <w:tc>
          <w:tcPr>
            <w:tcW w:w="1668" w:type="pct"/>
          </w:tcPr>
          <w:p w14:paraId="6E3E4BD3"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Academic integrity Statement</w:t>
            </w:r>
          </w:p>
        </w:tc>
        <w:tc>
          <w:tcPr>
            <w:tcW w:w="835" w:type="pct"/>
          </w:tcPr>
          <w:p w14:paraId="66EFD6CF" w14:textId="77777777" w:rsidR="008011F1" w:rsidRPr="008F2630" w:rsidRDefault="008011F1" w:rsidP="00E45246">
            <w:pPr>
              <w:rPr>
                <w:rFonts w:ascii="Calibri" w:hAnsi="Calibri" w:cs="Calibri"/>
              </w:rPr>
            </w:pPr>
            <w:r w:rsidRPr="008F2630">
              <w:rPr>
                <w:rFonts w:ascii="Calibri" w:hAnsi="Calibri" w:cs="Calibri"/>
              </w:rPr>
              <w:t>All</w:t>
            </w:r>
          </w:p>
        </w:tc>
        <w:tc>
          <w:tcPr>
            <w:tcW w:w="797" w:type="pct"/>
          </w:tcPr>
          <w:p w14:paraId="1A10B877" w14:textId="77777777" w:rsidR="008011F1" w:rsidRPr="008F2630" w:rsidRDefault="008011F1" w:rsidP="00E45246">
            <w:pPr>
              <w:rPr>
                <w:rFonts w:ascii="Calibri" w:hAnsi="Calibri" w:cs="Calibri"/>
              </w:rPr>
            </w:pPr>
            <w:r w:rsidRPr="008F2630">
              <w:rPr>
                <w:rFonts w:ascii="Calibri" w:hAnsi="Calibri" w:cs="Calibri"/>
              </w:rPr>
              <w:t>All</w:t>
            </w:r>
          </w:p>
        </w:tc>
        <w:tc>
          <w:tcPr>
            <w:tcW w:w="1701" w:type="pct"/>
          </w:tcPr>
          <w:p w14:paraId="0E816AFA" w14:textId="77777777" w:rsidR="008011F1" w:rsidRPr="008F2630" w:rsidRDefault="008011F1" w:rsidP="00E45246">
            <w:pPr>
              <w:rPr>
                <w:rFonts w:ascii="Calibri" w:hAnsi="Calibri" w:cs="Calibri"/>
              </w:rPr>
            </w:pPr>
            <w:r w:rsidRPr="008F2630">
              <w:rPr>
                <w:rFonts w:ascii="Calibri" w:hAnsi="Calibri" w:cs="Calibri"/>
              </w:rPr>
              <w:t xml:space="preserve">Upon submission </w:t>
            </w:r>
            <w:r>
              <w:rPr>
                <w:rFonts w:ascii="Calibri" w:hAnsi="Calibri" w:cs="Calibri"/>
              </w:rPr>
              <w:t>o</w:t>
            </w:r>
            <w:r w:rsidRPr="008F2630">
              <w:rPr>
                <w:rFonts w:ascii="Calibri" w:hAnsi="Calibri" w:cs="Calibri"/>
              </w:rPr>
              <w:t xml:space="preserve">f assessment </w:t>
            </w:r>
          </w:p>
        </w:tc>
      </w:tr>
      <w:tr w:rsidR="008011F1" w:rsidRPr="008F2630" w14:paraId="7B72C8F8" w14:textId="77777777" w:rsidTr="00E45246">
        <w:trPr>
          <w:trHeight w:val="342"/>
        </w:trPr>
        <w:tc>
          <w:tcPr>
            <w:tcW w:w="1668" w:type="pct"/>
          </w:tcPr>
          <w:p w14:paraId="7188C701"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Digital badges – Evidence of completion</w:t>
            </w:r>
          </w:p>
        </w:tc>
        <w:tc>
          <w:tcPr>
            <w:tcW w:w="835" w:type="pct"/>
          </w:tcPr>
          <w:p w14:paraId="274772EB" w14:textId="77777777" w:rsidR="008011F1" w:rsidRPr="008F2630" w:rsidRDefault="008011F1" w:rsidP="00E45246">
            <w:pPr>
              <w:rPr>
                <w:rFonts w:ascii="Calibri" w:hAnsi="Calibri" w:cs="Calibri"/>
              </w:rPr>
            </w:pPr>
            <w:r w:rsidRPr="008F2630">
              <w:rPr>
                <w:rFonts w:ascii="Calibri" w:hAnsi="Calibri" w:cs="Calibri"/>
              </w:rPr>
              <w:t>Post sem</w:t>
            </w:r>
            <w:r>
              <w:rPr>
                <w:rFonts w:ascii="Calibri" w:hAnsi="Calibri" w:cs="Calibri"/>
              </w:rPr>
              <w:t>ester</w:t>
            </w:r>
            <w:r w:rsidRPr="008F2630">
              <w:rPr>
                <w:rFonts w:ascii="Calibri" w:hAnsi="Calibri" w:cs="Calibri"/>
              </w:rPr>
              <w:t xml:space="preserve"> one year one.</w:t>
            </w:r>
          </w:p>
        </w:tc>
        <w:tc>
          <w:tcPr>
            <w:tcW w:w="797" w:type="pct"/>
          </w:tcPr>
          <w:p w14:paraId="7B105717" w14:textId="77777777" w:rsidR="008011F1" w:rsidRPr="008F2630" w:rsidRDefault="008011F1" w:rsidP="00E45246">
            <w:pPr>
              <w:rPr>
                <w:rFonts w:ascii="Calibri" w:hAnsi="Calibri" w:cs="Calibri"/>
              </w:rPr>
            </w:pPr>
            <w:r w:rsidRPr="008F2630">
              <w:rPr>
                <w:rFonts w:ascii="Calibri" w:hAnsi="Calibri" w:cs="Calibri"/>
              </w:rPr>
              <w:t>All</w:t>
            </w:r>
          </w:p>
        </w:tc>
        <w:tc>
          <w:tcPr>
            <w:tcW w:w="1701" w:type="pct"/>
          </w:tcPr>
          <w:p w14:paraId="3CEA16A0" w14:textId="77777777" w:rsidR="008011F1" w:rsidRPr="008F2630" w:rsidRDefault="008011F1" w:rsidP="00E45246">
            <w:pPr>
              <w:rPr>
                <w:rFonts w:ascii="Calibri" w:hAnsi="Calibri" w:cs="Calibri"/>
              </w:rPr>
            </w:pPr>
            <w:r w:rsidRPr="008F2630">
              <w:rPr>
                <w:rFonts w:ascii="Calibri" w:hAnsi="Calibri" w:cs="Calibri"/>
              </w:rPr>
              <w:t xml:space="preserve">Upon submission </w:t>
            </w:r>
            <w:r>
              <w:rPr>
                <w:rFonts w:ascii="Calibri" w:hAnsi="Calibri" w:cs="Calibri"/>
              </w:rPr>
              <w:t>o</w:t>
            </w:r>
            <w:r w:rsidRPr="008F2630">
              <w:rPr>
                <w:rFonts w:ascii="Calibri" w:hAnsi="Calibri" w:cs="Calibri"/>
              </w:rPr>
              <w:t>f assessment</w:t>
            </w:r>
          </w:p>
        </w:tc>
      </w:tr>
      <w:tr w:rsidR="008011F1" w:rsidRPr="008F2630" w14:paraId="6AAB6832" w14:textId="77777777" w:rsidTr="00E45246">
        <w:trPr>
          <w:trHeight w:val="342"/>
        </w:trPr>
        <w:tc>
          <w:tcPr>
            <w:tcW w:w="1668" w:type="pct"/>
          </w:tcPr>
          <w:p w14:paraId="7D94D1EB"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Permitted level of use for Gen AI</w:t>
            </w:r>
          </w:p>
        </w:tc>
        <w:tc>
          <w:tcPr>
            <w:tcW w:w="835" w:type="pct"/>
          </w:tcPr>
          <w:p w14:paraId="51462014" w14:textId="77777777" w:rsidR="008011F1" w:rsidRPr="008F2630" w:rsidRDefault="008011F1" w:rsidP="00E45246">
            <w:pPr>
              <w:rPr>
                <w:rFonts w:ascii="Calibri" w:hAnsi="Calibri" w:cs="Calibri"/>
              </w:rPr>
            </w:pPr>
            <w:r w:rsidRPr="008F2630">
              <w:rPr>
                <w:rFonts w:ascii="Calibri" w:hAnsi="Calibri" w:cs="Calibri"/>
              </w:rPr>
              <w:t>All</w:t>
            </w:r>
          </w:p>
        </w:tc>
        <w:tc>
          <w:tcPr>
            <w:tcW w:w="797" w:type="pct"/>
          </w:tcPr>
          <w:p w14:paraId="0A4974EA" w14:textId="77777777" w:rsidR="008011F1" w:rsidRPr="008F2630" w:rsidRDefault="008011F1" w:rsidP="00E45246">
            <w:pPr>
              <w:rPr>
                <w:rFonts w:ascii="Calibri" w:hAnsi="Calibri" w:cs="Calibri"/>
              </w:rPr>
            </w:pPr>
            <w:r w:rsidRPr="008F2630">
              <w:rPr>
                <w:rFonts w:ascii="Calibri" w:hAnsi="Calibri" w:cs="Calibri"/>
              </w:rPr>
              <w:t>All</w:t>
            </w:r>
          </w:p>
        </w:tc>
        <w:tc>
          <w:tcPr>
            <w:tcW w:w="1701" w:type="pct"/>
          </w:tcPr>
          <w:p w14:paraId="3F16D9B9" w14:textId="77777777" w:rsidR="008011F1" w:rsidRPr="008F2630" w:rsidRDefault="008011F1" w:rsidP="00E45246">
            <w:pPr>
              <w:rPr>
                <w:rFonts w:ascii="Calibri" w:hAnsi="Calibri" w:cs="Calibri"/>
              </w:rPr>
            </w:pPr>
            <w:r w:rsidRPr="008F2630">
              <w:rPr>
                <w:rFonts w:ascii="Calibri" w:hAnsi="Calibri" w:cs="Calibri"/>
              </w:rPr>
              <w:t>Detailed at time of release of assessment</w:t>
            </w:r>
          </w:p>
        </w:tc>
      </w:tr>
      <w:tr w:rsidR="008011F1" w:rsidRPr="008F2630" w14:paraId="53689DED" w14:textId="77777777" w:rsidTr="00E45246">
        <w:trPr>
          <w:trHeight w:val="342"/>
        </w:trPr>
        <w:tc>
          <w:tcPr>
            <w:tcW w:w="1668" w:type="pct"/>
          </w:tcPr>
          <w:p w14:paraId="4CC925C6"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Referencing &amp; Citations</w:t>
            </w:r>
          </w:p>
        </w:tc>
        <w:tc>
          <w:tcPr>
            <w:tcW w:w="835" w:type="pct"/>
          </w:tcPr>
          <w:p w14:paraId="5BBAEE13" w14:textId="77777777" w:rsidR="008011F1" w:rsidRPr="008F2630" w:rsidRDefault="008011F1" w:rsidP="00E45246">
            <w:pPr>
              <w:rPr>
                <w:rFonts w:ascii="Calibri" w:hAnsi="Calibri" w:cs="Calibri"/>
              </w:rPr>
            </w:pPr>
            <w:r w:rsidRPr="008F2630">
              <w:rPr>
                <w:rFonts w:ascii="Calibri" w:hAnsi="Calibri" w:cs="Calibri"/>
              </w:rPr>
              <w:t>All</w:t>
            </w:r>
          </w:p>
        </w:tc>
        <w:tc>
          <w:tcPr>
            <w:tcW w:w="797" w:type="pct"/>
          </w:tcPr>
          <w:p w14:paraId="2D4C443E" w14:textId="77777777" w:rsidR="008011F1" w:rsidRPr="008F2630" w:rsidRDefault="008011F1" w:rsidP="00E45246">
            <w:pPr>
              <w:rPr>
                <w:rFonts w:ascii="Calibri" w:hAnsi="Calibri" w:cs="Calibri"/>
              </w:rPr>
            </w:pPr>
            <w:r w:rsidRPr="008F2630">
              <w:rPr>
                <w:rFonts w:ascii="Calibri" w:hAnsi="Calibri" w:cs="Calibri"/>
              </w:rPr>
              <w:t xml:space="preserve">All </w:t>
            </w:r>
          </w:p>
        </w:tc>
        <w:tc>
          <w:tcPr>
            <w:tcW w:w="1701" w:type="pct"/>
          </w:tcPr>
          <w:p w14:paraId="61E2C33B" w14:textId="77777777" w:rsidR="008011F1" w:rsidRPr="008F2630" w:rsidRDefault="008011F1" w:rsidP="00E45246">
            <w:pPr>
              <w:rPr>
                <w:rFonts w:ascii="Calibri" w:hAnsi="Calibri" w:cs="Calibri"/>
              </w:rPr>
            </w:pPr>
            <w:r w:rsidRPr="008F2630">
              <w:rPr>
                <w:rFonts w:ascii="Calibri" w:hAnsi="Calibri" w:cs="Calibri"/>
              </w:rPr>
              <w:t>Detailed at time of release of assessment</w:t>
            </w:r>
          </w:p>
        </w:tc>
      </w:tr>
      <w:tr w:rsidR="008011F1" w:rsidRPr="008F2630" w14:paraId="56C7E1B3" w14:textId="77777777" w:rsidTr="00E45246">
        <w:trPr>
          <w:trHeight w:val="342"/>
        </w:trPr>
        <w:tc>
          <w:tcPr>
            <w:tcW w:w="1668" w:type="pct"/>
          </w:tcPr>
          <w:p w14:paraId="6F7F71B9"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Department teaching slide deck</w:t>
            </w:r>
          </w:p>
        </w:tc>
        <w:tc>
          <w:tcPr>
            <w:tcW w:w="835" w:type="pct"/>
          </w:tcPr>
          <w:p w14:paraId="073AC43D" w14:textId="77777777" w:rsidR="008011F1" w:rsidRPr="008F2630" w:rsidRDefault="008011F1" w:rsidP="00E45246">
            <w:pPr>
              <w:rPr>
                <w:rFonts w:ascii="Calibri" w:hAnsi="Calibri" w:cs="Calibri"/>
              </w:rPr>
            </w:pPr>
            <w:r w:rsidRPr="008F2630">
              <w:rPr>
                <w:rFonts w:ascii="Calibri" w:hAnsi="Calibri" w:cs="Calibri"/>
              </w:rPr>
              <w:t>All</w:t>
            </w:r>
          </w:p>
        </w:tc>
        <w:tc>
          <w:tcPr>
            <w:tcW w:w="797" w:type="pct"/>
          </w:tcPr>
          <w:p w14:paraId="74871FB7" w14:textId="77777777" w:rsidR="008011F1" w:rsidRPr="008F2630" w:rsidRDefault="008011F1" w:rsidP="00E45246">
            <w:pPr>
              <w:rPr>
                <w:rFonts w:ascii="Calibri" w:hAnsi="Calibri" w:cs="Calibri"/>
              </w:rPr>
            </w:pPr>
            <w:r w:rsidRPr="008F2630">
              <w:rPr>
                <w:rFonts w:ascii="Calibri" w:hAnsi="Calibri" w:cs="Calibri"/>
              </w:rPr>
              <w:t>All</w:t>
            </w:r>
          </w:p>
        </w:tc>
        <w:tc>
          <w:tcPr>
            <w:tcW w:w="1701" w:type="pct"/>
          </w:tcPr>
          <w:p w14:paraId="7ED89B39" w14:textId="77777777" w:rsidR="008011F1" w:rsidRPr="008F2630" w:rsidRDefault="008011F1" w:rsidP="00E45246">
            <w:pPr>
              <w:rPr>
                <w:rFonts w:ascii="Calibri" w:hAnsi="Calibri" w:cs="Calibri"/>
              </w:rPr>
            </w:pPr>
            <w:r w:rsidRPr="008F2630">
              <w:rPr>
                <w:rFonts w:ascii="Calibri" w:hAnsi="Calibri" w:cs="Calibri"/>
              </w:rPr>
              <w:t>Prior to assessment</w:t>
            </w:r>
          </w:p>
        </w:tc>
      </w:tr>
      <w:tr w:rsidR="008011F1" w:rsidRPr="008F2630" w14:paraId="2DF4B34C" w14:textId="77777777" w:rsidTr="00E45246">
        <w:trPr>
          <w:trHeight w:val="342"/>
        </w:trPr>
        <w:tc>
          <w:tcPr>
            <w:tcW w:w="1668" w:type="pct"/>
          </w:tcPr>
          <w:p w14:paraId="4D2A83F1" w14:textId="77777777" w:rsidR="008011F1" w:rsidRPr="008F2630" w:rsidRDefault="008011F1" w:rsidP="008011F1">
            <w:pPr>
              <w:pStyle w:val="ListParagraph"/>
              <w:numPr>
                <w:ilvl w:val="0"/>
                <w:numId w:val="1"/>
              </w:numPr>
              <w:rPr>
                <w:rFonts w:ascii="Calibri" w:hAnsi="Calibri" w:cs="Calibri"/>
              </w:rPr>
            </w:pPr>
            <w:r w:rsidRPr="008F2630">
              <w:rPr>
                <w:rFonts w:ascii="Calibri" w:hAnsi="Calibri" w:cs="Calibri"/>
              </w:rPr>
              <w:t>Collaboration and feedback</w:t>
            </w:r>
          </w:p>
        </w:tc>
        <w:tc>
          <w:tcPr>
            <w:tcW w:w="835" w:type="pct"/>
          </w:tcPr>
          <w:p w14:paraId="73148E50" w14:textId="77777777" w:rsidR="008011F1" w:rsidRPr="008F2630" w:rsidRDefault="008011F1" w:rsidP="00E45246">
            <w:pPr>
              <w:rPr>
                <w:rFonts w:ascii="Calibri" w:hAnsi="Calibri" w:cs="Calibri"/>
              </w:rPr>
            </w:pPr>
            <w:r>
              <w:rPr>
                <w:rFonts w:ascii="Calibri" w:hAnsi="Calibri" w:cs="Calibri"/>
              </w:rPr>
              <w:t>All</w:t>
            </w:r>
          </w:p>
        </w:tc>
        <w:tc>
          <w:tcPr>
            <w:tcW w:w="797" w:type="pct"/>
          </w:tcPr>
          <w:p w14:paraId="76A48420" w14:textId="77777777" w:rsidR="008011F1" w:rsidRPr="008F2630" w:rsidRDefault="008011F1" w:rsidP="00E45246">
            <w:pPr>
              <w:rPr>
                <w:rFonts w:ascii="Calibri" w:hAnsi="Calibri" w:cs="Calibri"/>
              </w:rPr>
            </w:pPr>
            <w:r>
              <w:rPr>
                <w:rFonts w:ascii="Calibri" w:hAnsi="Calibri" w:cs="Calibri"/>
              </w:rPr>
              <w:t>All</w:t>
            </w:r>
          </w:p>
        </w:tc>
        <w:tc>
          <w:tcPr>
            <w:tcW w:w="1701" w:type="pct"/>
          </w:tcPr>
          <w:p w14:paraId="206DC393" w14:textId="77777777" w:rsidR="008011F1" w:rsidRPr="008F2630" w:rsidRDefault="008011F1" w:rsidP="00E45246">
            <w:pPr>
              <w:rPr>
                <w:rFonts w:ascii="Calibri" w:hAnsi="Calibri" w:cs="Calibri"/>
              </w:rPr>
            </w:pPr>
            <w:r>
              <w:rPr>
                <w:rFonts w:ascii="Calibri" w:hAnsi="Calibri" w:cs="Calibri"/>
              </w:rPr>
              <w:t>Anytime during semester</w:t>
            </w:r>
          </w:p>
        </w:tc>
      </w:tr>
    </w:tbl>
    <w:p w14:paraId="67220892" w14:textId="77777777" w:rsidR="008011F1" w:rsidRDefault="008011F1" w:rsidP="008011F1">
      <w:pPr>
        <w:jc w:val="both"/>
        <w:rPr>
          <w:rFonts w:ascii="Calibri" w:hAnsi="Calibri" w:cs="Calibri"/>
        </w:rPr>
      </w:pPr>
    </w:p>
    <w:p w14:paraId="4C86FE4D" w14:textId="53AEC1BA" w:rsidR="008011F1" w:rsidRDefault="008011F1" w:rsidP="008011F1">
      <w:pPr>
        <w:jc w:val="both"/>
        <w:rPr>
          <w:rFonts w:ascii="Calibri" w:hAnsi="Calibri" w:cs="Calibri"/>
        </w:rPr>
      </w:pPr>
      <w:r w:rsidRPr="002954FB">
        <w:rPr>
          <w:rFonts w:ascii="Calibri" w:hAnsi="Calibri" w:cs="Calibri"/>
        </w:rPr>
        <w:t>This</w:t>
      </w:r>
      <w:r>
        <w:rPr>
          <w:rFonts w:ascii="Calibri" w:hAnsi="Calibri" w:cs="Calibri"/>
        </w:rPr>
        <w:t xml:space="preserve"> guideline</w:t>
      </w:r>
      <w:r w:rsidRPr="002954FB">
        <w:rPr>
          <w:rFonts w:ascii="Calibri" w:hAnsi="Calibri" w:cs="Calibri"/>
        </w:rPr>
        <w:t xml:space="preserve"> document is hosted on the Department of Management &amp; Enterprise Teams site as a live document which can be updated to reflect MTU changes in policy and practices linked to supporting academic integrity. </w:t>
      </w:r>
      <w:r>
        <w:rPr>
          <w:rFonts w:ascii="Calibri" w:hAnsi="Calibri" w:cs="Calibri"/>
        </w:rPr>
        <w:t>The guide</w:t>
      </w:r>
      <w:r w:rsidR="003C5D07">
        <w:rPr>
          <w:rFonts w:ascii="Calibri" w:hAnsi="Calibri" w:cs="Calibri"/>
        </w:rPr>
        <w:t>lines were drafted over three iterations before being launched in June 2025.  The draft document was developed initially by Caroline O’Reilly</w:t>
      </w:r>
      <w:r w:rsidR="004E79FB">
        <w:rPr>
          <w:rFonts w:ascii="Calibri" w:hAnsi="Calibri" w:cs="Calibri"/>
        </w:rPr>
        <w:t>,</w:t>
      </w:r>
      <w:r w:rsidR="003C5D07">
        <w:rPr>
          <w:rFonts w:ascii="Calibri" w:hAnsi="Calibri" w:cs="Calibri"/>
        </w:rPr>
        <w:t xml:space="preserve"> Head of Department of Management &amp; Enterprise and refined following consultation with the </w:t>
      </w:r>
      <w:proofErr w:type="gramStart"/>
      <w:r w:rsidR="003C5D07">
        <w:rPr>
          <w:rFonts w:ascii="Calibri" w:hAnsi="Calibri" w:cs="Calibri"/>
        </w:rPr>
        <w:t>following;</w:t>
      </w:r>
      <w:proofErr w:type="gramEnd"/>
    </w:p>
    <w:p w14:paraId="58DD7F98" w14:textId="77777777" w:rsidR="004E79FB" w:rsidRDefault="004E79FB" w:rsidP="004E79FB">
      <w:pPr>
        <w:pStyle w:val="ListParagraph"/>
        <w:numPr>
          <w:ilvl w:val="0"/>
          <w:numId w:val="2"/>
        </w:numPr>
        <w:jc w:val="both"/>
        <w:rPr>
          <w:rFonts w:ascii="Calibri" w:hAnsi="Calibri" w:cs="Calibri"/>
        </w:rPr>
      </w:pPr>
      <w:r>
        <w:rPr>
          <w:rFonts w:ascii="Calibri" w:hAnsi="Calibri" w:cs="Calibri"/>
        </w:rPr>
        <w:t>Dr. Violeta Morari and Dr. Áine Ni She MTU SATLE funded project supporting AI</w:t>
      </w:r>
    </w:p>
    <w:p w14:paraId="3C8C80E5" w14:textId="4E80837B" w:rsidR="003C5D07" w:rsidRDefault="003C5D07" w:rsidP="003C5D07">
      <w:pPr>
        <w:pStyle w:val="ListParagraph"/>
        <w:numPr>
          <w:ilvl w:val="0"/>
          <w:numId w:val="2"/>
        </w:numPr>
        <w:jc w:val="both"/>
        <w:rPr>
          <w:rFonts w:ascii="Calibri" w:hAnsi="Calibri" w:cs="Calibri"/>
        </w:rPr>
      </w:pPr>
      <w:r>
        <w:rPr>
          <w:rFonts w:ascii="Calibri" w:hAnsi="Calibri" w:cs="Calibri"/>
        </w:rPr>
        <w:t>Dr. Angel</w:t>
      </w:r>
      <w:r w:rsidR="00EE719F">
        <w:rPr>
          <w:rFonts w:ascii="Calibri" w:hAnsi="Calibri" w:cs="Calibri"/>
        </w:rPr>
        <w:t>a</w:t>
      </w:r>
      <w:r>
        <w:rPr>
          <w:rFonts w:ascii="Calibri" w:hAnsi="Calibri" w:cs="Calibri"/>
        </w:rPr>
        <w:t xml:space="preserve"> Wright, </w:t>
      </w:r>
      <w:r w:rsidR="00EE719F">
        <w:rPr>
          <w:rFonts w:ascii="Calibri" w:hAnsi="Calibri" w:cs="Calibri"/>
        </w:rPr>
        <w:t>Prof. Jim O Mahony, Sinead Huskisson and Sharon Lehane, MTU</w:t>
      </w:r>
      <w:r>
        <w:rPr>
          <w:rFonts w:ascii="Calibri" w:hAnsi="Calibri" w:cs="Calibri"/>
        </w:rPr>
        <w:t xml:space="preserve"> Teaching &amp; Learning Unit </w:t>
      </w:r>
    </w:p>
    <w:p w14:paraId="64DBD3B1" w14:textId="6B63D9E5" w:rsidR="00EE719F" w:rsidRDefault="00EE719F" w:rsidP="003C5D07">
      <w:pPr>
        <w:pStyle w:val="ListParagraph"/>
        <w:numPr>
          <w:ilvl w:val="0"/>
          <w:numId w:val="2"/>
        </w:numPr>
        <w:jc w:val="both"/>
        <w:rPr>
          <w:rFonts w:ascii="Calibri" w:hAnsi="Calibri" w:cs="Calibri"/>
        </w:rPr>
      </w:pPr>
      <w:r>
        <w:rPr>
          <w:rFonts w:ascii="Calibri" w:hAnsi="Calibri" w:cs="Calibri"/>
        </w:rPr>
        <w:t>Dr. Jean Ricken and Michael Costello, MTU Library</w:t>
      </w:r>
    </w:p>
    <w:p w14:paraId="6CF6102A" w14:textId="68B437C8" w:rsidR="00EE719F" w:rsidRDefault="00EE719F" w:rsidP="003C5D07">
      <w:pPr>
        <w:pStyle w:val="ListParagraph"/>
        <w:numPr>
          <w:ilvl w:val="0"/>
          <w:numId w:val="2"/>
        </w:numPr>
        <w:jc w:val="both"/>
        <w:rPr>
          <w:rFonts w:ascii="Calibri" w:hAnsi="Calibri" w:cs="Calibri"/>
        </w:rPr>
      </w:pPr>
      <w:r>
        <w:rPr>
          <w:rFonts w:ascii="Calibri" w:hAnsi="Calibri" w:cs="Calibri"/>
        </w:rPr>
        <w:t>Dr. Gearoid O Suilleabhain and Darragh Coakley, Dept of Technology Enhanced Learning</w:t>
      </w:r>
    </w:p>
    <w:p w14:paraId="2155E2E7" w14:textId="19FD313F" w:rsidR="00EE719F" w:rsidRDefault="00EE719F" w:rsidP="003C5D07">
      <w:pPr>
        <w:pStyle w:val="ListParagraph"/>
        <w:numPr>
          <w:ilvl w:val="0"/>
          <w:numId w:val="2"/>
        </w:numPr>
        <w:jc w:val="both"/>
        <w:rPr>
          <w:rFonts w:ascii="Calibri" w:hAnsi="Calibri" w:cs="Calibri"/>
        </w:rPr>
      </w:pPr>
      <w:r>
        <w:rPr>
          <w:rFonts w:ascii="Calibri" w:hAnsi="Calibri" w:cs="Calibri"/>
        </w:rPr>
        <w:t>16 coordinators</w:t>
      </w:r>
      <w:r w:rsidR="004E79FB">
        <w:rPr>
          <w:rFonts w:ascii="Calibri" w:hAnsi="Calibri" w:cs="Calibri"/>
        </w:rPr>
        <w:t xml:space="preserve"> (</w:t>
      </w:r>
      <w:proofErr w:type="spellStart"/>
      <w:r w:rsidR="004E79FB">
        <w:rPr>
          <w:rFonts w:ascii="Calibri" w:hAnsi="Calibri" w:cs="Calibri"/>
        </w:rPr>
        <w:t>lecurers</w:t>
      </w:r>
      <w:proofErr w:type="spellEnd"/>
      <w:r w:rsidR="004E79FB">
        <w:rPr>
          <w:rFonts w:ascii="Calibri" w:hAnsi="Calibri" w:cs="Calibri"/>
        </w:rPr>
        <w:t>)</w:t>
      </w:r>
      <w:r>
        <w:rPr>
          <w:rFonts w:ascii="Calibri" w:hAnsi="Calibri" w:cs="Calibri"/>
        </w:rPr>
        <w:t xml:space="preserve"> supporting programmes in the Dept. of Management &amp; Enterprise.</w:t>
      </w:r>
    </w:p>
    <w:p w14:paraId="7BCCAC11" w14:textId="704BFFDE" w:rsidR="00EE719F" w:rsidRDefault="00386B54" w:rsidP="00EE719F">
      <w:pPr>
        <w:jc w:val="both"/>
        <w:rPr>
          <w:rFonts w:ascii="Calibri" w:hAnsi="Calibri" w:cs="Calibri"/>
        </w:rPr>
      </w:pPr>
      <w:r>
        <w:rPr>
          <w:rFonts w:ascii="Calibri" w:hAnsi="Calibri" w:cs="Calibri"/>
        </w:rPr>
        <w:t xml:space="preserve">The draft guidelines was a launched via two online workshops in June 2025.  A total of 90 lecturers were invited to attend one </w:t>
      </w:r>
      <w:r w:rsidR="004E79FB">
        <w:rPr>
          <w:rFonts w:ascii="Calibri" w:hAnsi="Calibri" w:cs="Calibri"/>
        </w:rPr>
        <w:t xml:space="preserve">of these sessions </w:t>
      </w:r>
      <w:r>
        <w:rPr>
          <w:rFonts w:ascii="Calibri" w:hAnsi="Calibri" w:cs="Calibri"/>
        </w:rPr>
        <w:t xml:space="preserve">and approximately </w:t>
      </w:r>
      <w:r w:rsidR="00E026BB">
        <w:rPr>
          <w:rFonts w:ascii="Calibri" w:hAnsi="Calibri" w:cs="Calibri"/>
        </w:rPr>
        <w:t>45</w:t>
      </w:r>
      <w:r>
        <w:rPr>
          <w:rFonts w:ascii="Calibri" w:hAnsi="Calibri" w:cs="Calibri"/>
        </w:rPr>
        <w:t xml:space="preserve"> attended.</w:t>
      </w:r>
    </w:p>
    <w:p w14:paraId="7A89B93C" w14:textId="01744EC0" w:rsidR="00E026BB" w:rsidRDefault="00E026BB" w:rsidP="00EE719F">
      <w:pPr>
        <w:jc w:val="both"/>
        <w:rPr>
          <w:rFonts w:ascii="Calibri" w:hAnsi="Calibri" w:cs="Calibri"/>
        </w:rPr>
      </w:pPr>
      <w:r>
        <w:rPr>
          <w:rFonts w:ascii="Calibri" w:hAnsi="Calibri" w:cs="Calibri"/>
        </w:rPr>
        <w:t xml:space="preserve">In September 2025 the guidelines were presented to MTU registrar Professor Christine Cross.  The document was positively received and a request followed that the guideline document be shared more widely and a commitment was given that the Faculty of Business </w:t>
      </w:r>
      <w:r w:rsidR="004E79FB">
        <w:rPr>
          <w:rFonts w:ascii="Calibri" w:hAnsi="Calibri" w:cs="Calibri"/>
        </w:rPr>
        <w:t xml:space="preserve">Departments </w:t>
      </w:r>
      <w:r>
        <w:rPr>
          <w:rFonts w:ascii="Calibri" w:hAnsi="Calibri" w:cs="Calibri"/>
        </w:rPr>
        <w:t>would adopt the guidelines</w:t>
      </w:r>
      <w:r w:rsidR="004E79FB">
        <w:rPr>
          <w:rFonts w:ascii="Calibri" w:hAnsi="Calibri" w:cs="Calibri"/>
        </w:rPr>
        <w:t xml:space="preserve"> during the pilot phase</w:t>
      </w:r>
      <w:r>
        <w:rPr>
          <w:rFonts w:ascii="Calibri" w:hAnsi="Calibri" w:cs="Calibri"/>
        </w:rPr>
        <w:t>.</w:t>
      </w:r>
    </w:p>
    <w:p w14:paraId="398ABFE8" w14:textId="57091E77" w:rsidR="00E026BB" w:rsidRDefault="00E026BB" w:rsidP="00EE719F">
      <w:pPr>
        <w:jc w:val="both"/>
        <w:rPr>
          <w:rFonts w:ascii="Calibri" w:hAnsi="Calibri" w:cs="Calibri"/>
        </w:rPr>
      </w:pPr>
      <w:r>
        <w:rPr>
          <w:rFonts w:ascii="Calibri" w:hAnsi="Calibri" w:cs="Calibri"/>
        </w:rPr>
        <w:lastRenderedPageBreak/>
        <w:t>Finally, the guideline document was again presented to the Department of Management &amp; Enterprise lectur</w:t>
      </w:r>
      <w:r w:rsidR="00BC3769">
        <w:rPr>
          <w:rFonts w:ascii="Calibri" w:hAnsi="Calibri" w:cs="Calibri"/>
        </w:rPr>
        <w:t xml:space="preserve">ers as part of a </w:t>
      </w:r>
      <w:r w:rsidR="004E79FB">
        <w:rPr>
          <w:rFonts w:ascii="Calibri" w:hAnsi="Calibri" w:cs="Calibri"/>
        </w:rPr>
        <w:t>department</w:t>
      </w:r>
      <w:r w:rsidR="00BC3769">
        <w:rPr>
          <w:rFonts w:ascii="Calibri" w:hAnsi="Calibri" w:cs="Calibri"/>
        </w:rPr>
        <w:t xml:space="preserve"> briefing session which was </w:t>
      </w:r>
      <w:r w:rsidR="00C16BAA">
        <w:rPr>
          <w:rFonts w:ascii="Calibri" w:hAnsi="Calibri" w:cs="Calibri"/>
        </w:rPr>
        <w:t xml:space="preserve">accepted by 42 lecturers.  </w:t>
      </w:r>
    </w:p>
    <w:p w14:paraId="43CC20C5" w14:textId="305EAD5C" w:rsidR="00C16BAA" w:rsidRDefault="00C16BAA" w:rsidP="00EE719F">
      <w:pPr>
        <w:jc w:val="both"/>
        <w:rPr>
          <w:rFonts w:ascii="Calibri" w:hAnsi="Calibri" w:cs="Calibri"/>
        </w:rPr>
      </w:pPr>
      <w:r>
        <w:rPr>
          <w:rFonts w:ascii="Calibri" w:hAnsi="Calibri" w:cs="Calibri"/>
        </w:rPr>
        <w:t>At the end of semester two AY25_26 lecturers will be asked to provide feedback on the guidel</w:t>
      </w:r>
      <w:r w:rsidR="003F16A2">
        <w:rPr>
          <w:rFonts w:ascii="Calibri" w:hAnsi="Calibri" w:cs="Calibri"/>
        </w:rPr>
        <w:t>ines and six options.  Subject to lecturer demand and engagement a student facing resource will be developed to assist students directly with advice and guidance on how best to access and use MTU resources to support their academic integrity practices.</w:t>
      </w:r>
    </w:p>
    <w:p w14:paraId="216320F6" w14:textId="3BE07CFD" w:rsidR="008011F1" w:rsidRPr="002954FB" w:rsidRDefault="008011F1" w:rsidP="008011F1">
      <w:pPr>
        <w:jc w:val="both"/>
        <w:rPr>
          <w:rFonts w:ascii="Calibri" w:hAnsi="Calibri" w:cs="Calibri"/>
        </w:rPr>
      </w:pPr>
      <w:r w:rsidRPr="002954FB">
        <w:rPr>
          <w:rFonts w:ascii="Calibri" w:hAnsi="Calibri" w:cs="Calibri"/>
        </w:rPr>
        <w:t xml:space="preserve">The guideline is not a whole response to </w:t>
      </w:r>
      <w:r w:rsidR="003F16A2">
        <w:rPr>
          <w:rFonts w:ascii="Calibri" w:hAnsi="Calibri" w:cs="Calibri"/>
        </w:rPr>
        <w:t xml:space="preserve">Academic </w:t>
      </w:r>
      <w:proofErr w:type="gramStart"/>
      <w:r w:rsidR="0096001F">
        <w:rPr>
          <w:rFonts w:ascii="Calibri" w:hAnsi="Calibri" w:cs="Calibri"/>
        </w:rPr>
        <w:t>Integrity</w:t>
      </w:r>
      <w:proofErr w:type="gramEnd"/>
      <w:r w:rsidRPr="002954FB">
        <w:rPr>
          <w:rFonts w:ascii="Calibri" w:hAnsi="Calibri" w:cs="Calibri"/>
        </w:rPr>
        <w:t xml:space="preserve"> and it is expected that it will be replaced in time with a university wide MTU approach.  These guidelines seek to support and is guided by MTU policy and procedures which take precedent in supporting Academic Integrity </w:t>
      </w:r>
    </w:p>
    <w:p w14:paraId="71D167CE" w14:textId="4B8BC4D7" w:rsidR="00602DDD" w:rsidRPr="00647DFE" w:rsidRDefault="00910F9E" w:rsidP="008011F1">
      <w:pPr>
        <w:jc w:val="both"/>
        <w:rPr>
          <w:rFonts w:ascii="Calibri" w:hAnsi="Calibri" w:cs="Calibri"/>
          <w:i/>
          <w:iCs/>
        </w:rPr>
      </w:pPr>
      <w:r w:rsidRPr="00647DFE">
        <w:rPr>
          <w:rFonts w:ascii="Calibri" w:hAnsi="Calibri" w:cs="Calibri"/>
          <w:i/>
          <w:iCs/>
        </w:rPr>
        <w:t>Prepared by Caroline O’Reilly</w:t>
      </w:r>
    </w:p>
    <w:p w14:paraId="68533D67" w14:textId="622D181F" w:rsidR="00910F9E" w:rsidRPr="00647DFE" w:rsidRDefault="00910F9E" w:rsidP="008011F1">
      <w:pPr>
        <w:jc w:val="both"/>
        <w:rPr>
          <w:rFonts w:ascii="Calibri" w:hAnsi="Calibri" w:cs="Calibri"/>
          <w:i/>
          <w:iCs/>
        </w:rPr>
      </w:pPr>
      <w:r w:rsidRPr="00647DFE">
        <w:rPr>
          <w:rFonts w:ascii="Calibri" w:hAnsi="Calibri" w:cs="Calibri"/>
          <w:i/>
          <w:iCs/>
        </w:rPr>
        <w:t>Head of Department of Management &amp; Enterprise</w:t>
      </w:r>
    </w:p>
    <w:p w14:paraId="53C716B3" w14:textId="5718039C" w:rsidR="00910F9E" w:rsidRPr="00647DFE" w:rsidRDefault="00910F9E" w:rsidP="008011F1">
      <w:pPr>
        <w:jc w:val="both"/>
        <w:rPr>
          <w:rFonts w:ascii="Calibri" w:hAnsi="Calibri" w:cs="Calibri"/>
          <w:i/>
          <w:iCs/>
        </w:rPr>
      </w:pPr>
      <w:r w:rsidRPr="00647DFE">
        <w:rPr>
          <w:rFonts w:ascii="Calibri" w:hAnsi="Calibri" w:cs="Calibri"/>
          <w:i/>
          <w:iCs/>
        </w:rPr>
        <w:t>5</w:t>
      </w:r>
      <w:r w:rsidRPr="00647DFE">
        <w:rPr>
          <w:rFonts w:ascii="Calibri" w:hAnsi="Calibri" w:cs="Calibri"/>
          <w:i/>
          <w:iCs/>
          <w:vertAlign w:val="superscript"/>
        </w:rPr>
        <w:t>th</w:t>
      </w:r>
      <w:r w:rsidRPr="00647DFE">
        <w:rPr>
          <w:rFonts w:ascii="Calibri" w:hAnsi="Calibri" w:cs="Calibri"/>
          <w:i/>
          <w:iCs/>
        </w:rPr>
        <w:t xml:space="preserve"> Jan 2026</w:t>
      </w:r>
    </w:p>
    <w:sectPr w:rsidR="00910F9E" w:rsidRPr="00647D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CAB5" w14:textId="77777777" w:rsidR="008011F1" w:rsidRDefault="008011F1" w:rsidP="008011F1">
      <w:pPr>
        <w:spacing w:after="0" w:line="240" w:lineRule="auto"/>
      </w:pPr>
      <w:r>
        <w:separator/>
      </w:r>
    </w:p>
  </w:endnote>
  <w:endnote w:type="continuationSeparator" w:id="0">
    <w:p w14:paraId="33D5DC35" w14:textId="77777777" w:rsidR="008011F1" w:rsidRDefault="008011F1" w:rsidP="0080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123322"/>
      <w:docPartObj>
        <w:docPartGallery w:val="Page Numbers (Bottom of Page)"/>
        <w:docPartUnique/>
      </w:docPartObj>
    </w:sdtPr>
    <w:sdtEndPr>
      <w:rPr>
        <w:noProof/>
      </w:rPr>
    </w:sdtEndPr>
    <w:sdtContent>
      <w:p w14:paraId="573811A3" w14:textId="29E3C83A" w:rsidR="008011F1" w:rsidRDefault="00801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5B0B99" w14:textId="77777777" w:rsidR="008011F1" w:rsidRDefault="0080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5420" w14:textId="77777777" w:rsidR="008011F1" w:rsidRDefault="008011F1" w:rsidP="008011F1">
      <w:pPr>
        <w:spacing w:after="0" w:line="240" w:lineRule="auto"/>
      </w:pPr>
      <w:r>
        <w:separator/>
      </w:r>
    </w:p>
  </w:footnote>
  <w:footnote w:type="continuationSeparator" w:id="0">
    <w:p w14:paraId="21DBBEDF" w14:textId="77777777" w:rsidR="008011F1" w:rsidRDefault="008011F1" w:rsidP="00801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B24E5"/>
    <w:multiLevelType w:val="hybridMultilevel"/>
    <w:tmpl w:val="E200B5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0F82382"/>
    <w:multiLevelType w:val="hybridMultilevel"/>
    <w:tmpl w:val="66A089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88426870">
    <w:abstractNumId w:val="0"/>
  </w:num>
  <w:num w:numId="2" w16cid:durableId="124800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F1"/>
    <w:rsid w:val="00137800"/>
    <w:rsid w:val="00386B54"/>
    <w:rsid w:val="003C5D07"/>
    <w:rsid w:val="003F16A2"/>
    <w:rsid w:val="004E79FB"/>
    <w:rsid w:val="00602DDD"/>
    <w:rsid w:val="00647DFE"/>
    <w:rsid w:val="0065565F"/>
    <w:rsid w:val="008011F1"/>
    <w:rsid w:val="008E7B28"/>
    <w:rsid w:val="00910F9E"/>
    <w:rsid w:val="0096001F"/>
    <w:rsid w:val="00BC3769"/>
    <w:rsid w:val="00C16BAA"/>
    <w:rsid w:val="00E026BB"/>
    <w:rsid w:val="00EE719F"/>
    <w:rsid w:val="00F400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5594"/>
  <w15:chartTrackingRefBased/>
  <w15:docId w15:val="{D34E45C0-7361-46E0-87EB-31ED22C2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F1"/>
  </w:style>
  <w:style w:type="paragraph" w:styleId="Heading1">
    <w:name w:val="heading 1"/>
    <w:basedOn w:val="Normal"/>
    <w:next w:val="Normal"/>
    <w:link w:val="Heading1Char"/>
    <w:uiPriority w:val="9"/>
    <w:qFormat/>
    <w:rsid w:val="00801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1F1"/>
    <w:rPr>
      <w:rFonts w:eastAsiaTheme="majorEastAsia" w:cstheme="majorBidi"/>
      <w:color w:val="272727" w:themeColor="text1" w:themeTint="D8"/>
    </w:rPr>
  </w:style>
  <w:style w:type="paragraph" w:styleId="Title">
    <w:name w:val="Title"/>
    <w:basedOn w:val="Normal"/>
    <w:next w:val="Normal"/>
    <w:link w:val="TitleChar"/>
    <w:uiPriority w:val="10"/>
    <w:qFormat/>
    <w:rsid w:val="00801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1F1"/>
    <w:pPr>
      <w:spacing w:before="160"/>
      <w:jc w:val="center"/>
    </w:pPr>
    <w:rPr>
      <w:i/>
      <w:iCs/>
      <w:color w:val="404040" w:themeColor="text1" w:themeTint="BF"/>
    </w:rPr>
  </w:style>
  <w:style w:type="character" w:customStyle="1" w:styleId="QuoteChar">
    <w:name w:val="Quote Char"/>
    <w:basedOn w:val="DefaultParagraphFont"/>
    <w:link w:val="Quote"/>
    <w:uiPriority w:val="29"/>
    <w:rsid w:val="008011F1"/>
    <w:rPr>
      <w:i/>
      <w:iCs/>
      <w:color w:val="404040" w:themeColor="text1" w:themeTint="BF"/>
    </w:rPr>
  </w:style>
  <w:style w:type="paragraph" w:styleId="ListParagraph">
    <w:name w:val="List Paragraph"/>
    <w:basedOn w:val="Normal"/>
    <w:uiPriority w:val="34"/>
    <w:qFormat/>
    <w:rsid w:val="008011F1"/>
    <w:pPr>
      <w:ind w:left="720"/>
      <w:contextualSpacing/>
    </w:pPr>
  </w:style>
  <w:style w:type="character" w:styleId="IntenseEmphasis">
    <w:name w:val="Intense Emphasis"/>
    <w:basedOn w:val="DefaultParagraphFont"/>
    <w:uiPriority w:val="21"/>
    <w:qFormat/>
    <w:rsid w:val="008011F1"/>
    <w:rPr>
      <w:i/>
      <w:iCs/>
      <w:color w:val="0F4761" w:themeColor="accent1" w:themeShade="BF"/>
    </w:rPr>
  </w:style>
  <w:style w:type="paragraph" w:styleId="IntenseQuote">
    <w:name w:val="Intense Quote"/>
    <w:basedOn w:val="Normal"/>
    <w:next w:val="Normal"/>
    <w:link w:val="IntenseQuoteChar"/>
    <w:uiPriority w:val="30"/>
    <w:qFormat/>
    <w:rsid w:val="00801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1F1"/>
    <w:rPr>
      <w:i/>
      <w:iCs/>
      <w:color w:val="0F4761" w:themeColor="accent1" w:themeShade="BF"/>
    </w:rPr>
  </w:style>
  <w:style w:type="character" w:styleId="IntenseReference">
    <w:name w:val="Intense Reference"/>
    <w:basedOn w:val="DefaultParagraphFont"/>
    <w:uiPriority w:val="32"/>
    <w:qFormat/>
    <w:rsid w:val="008011F1"/>
    <w:rPr>
      <w:b/>
      <w:bCs/>
      <w:smallCaps/>
      <w:color w:val="0F4761" w:themeColor="accent1" w:themeShade="BF"/>
      <w:spacing w:val="5"/>
    </w:rPr>
  </w:style>
  <w:style w:type="table" w:styleId="TableGrid">
    <w:name w:val="Table Grid"/>
    <w:basedOn w:val="TableNormal"/>
    <w:uiPriority w:val="39"/>
    <w:rsid w:val="0080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F1"/>
  </w:style>
  <w:style w:type="paragraph" w:styleId="Footer">
    <w:name w:val="footer"/>
    <w:basedOn w:val="Normal"/>
    <w:link w:val="FooterChar"/>
    <w:uiPriority w:val="99"/>
    <w:unhideWhenUsed/>
    <w:rsid w:val="00801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O Reilly</dc:creator>
  <cp:keywords/>
  <dc:description/>
  <cp:lastModifiedBy>Caroline O Reilly</cp:lastModifiedBy>
  <cp:revision>14</cp:revision>
  <dcterms:created xsi:type="dcterms:W3CDTF">2026-01-04T20:06:00Z</dcterms:created>
  <dcterms:modified xsi:type="dcterms:W3CDTF">2026-01-05T12:19:00Z</dcterms:modified>
</cp:coreProperties>
</file>